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11 106 vom 16. Februar 2011</w:t>
      </w:r>
    </w:p>
    <w:p>
      <w:r>
        <w:t>BL Gerichte, 2011-02-16, DE</w:t>
      </w:r>
    </w:p>
    <w:p>
      <w:r>
        <w:rPr>
          <w:b/>
        </w:rPr>
        <w:t xml:space="preserve">Quelle: </w:t>
      </w:r>
      <w:r>
        <w:t>https://mcp.opencaselaw.ch/entscheid/bl_gerichte_720 11 106</w:t>
      </w:r>
    </w:p>
    <w:p>
      <w:r>
        <w:t>FR: BL_GERICHTE 720 11 106 du 16 février 2011</w:t>
      </w:r>
    </w:p>
    <w:p>
      <w:r>
        <w:t>IT: BL_GERICHTE 720 11 106 del 16 febbraio 2011</w:t>
      </w:r>
    </w:p>
    <w:p>
      <w:pPr>
        <w:pStyle w:val="Heading2"/>
      </w:pPr>
      <w:r>
        <w:t>Regeste</w:t>
      </w:r>
    </w:p>
    <w:p>
      <w:r>
        <w:t>IV-Rente</w:t>
      </w:r>
    </w:p>
    <w:p>
      <w:pPr>
        <w:pStyle w:val="Heading2"/>
      </w:pPr>
      <w:r>
        <w:t>Erwägungen</w:t>
      </w:r>
    </w:p>
    <w:p>
      <w:r>
        <w:rPr>
          <w:b/>
        </w:rPr>
        <w:t>E. 1</w:t>
      </w:r>
    </w:p>
    <w:p>
      <w:r>
        <w:t>Als Invalidität gilt die voraussichtlich bleibende oder längere Zeit dauernde ganze oder teilweise Erwerbsunfähigkeit (Art. 8 Abs. 1 des Bundesgesetzes über den Allgemeinen Teil des Sozialversicherungsrechts [ATSG] vom 6. Oktober 2000). Die Invalidität wird durch eine Beeinträchtigung der körperlichen, geistigen oder psychischen Gesundheit verursacht, wobei sie im IV-Bereich Folge von Geburtsgebrechen, Krankheit oder Unfall sein kann (Art. 4 Abs. 1 des Bundesgesetzes über die Invalidenversicherung [IVG] vom 19. Juni 1959, Art. 3 und 4 ATSG).</w:t>
      </w:r>
    </w:p>
    <w:p>
      <w:r>
        <w:rPr>
          <w:b/>
        </w:rPr>
        <w:t>E. 2</w:t>
      </w:r>
    </w:p>
    <w:p>
      <w:r>
        <w:t>Nach Art. 28 Abs. 2 IVG hat die versicherte Person Anspruch auf eine ganze Rente, wenn sie mindestens zu 70%, auf eine Dreiviertelsrente, wenn sie mindestens zu 60%, auf eine halbe Rente, wenn sie mindestens zu 50% und auf eine Viertelsrente, wenn sie mindestens zu 40% invalid ist.</w:t>
      </w:r>
    </w:p>
    <w:p>
      <w:r>
        <w:rPr>
          <w:b/>
        </w:rPr>
        <w:t>E. 2.1</w:t>
      </w:r>
    </w:p>
    <w:p>
      <w:r>
        <w:t>Gemäss der Legaldefinition von Art. 6 ATSG ist Arbeitsunfähigkeit die durch eine Beeinträchtigung der körperlichen oder geistigen Gesundheit bedingte, volle oder teilweise Unfähigkeit, im bisherigen Beruf oder Aufgabenbereich zumutbare Arbeit zu leisten (Satz 1). Bei langer Dauer wird auch die zumutbare Tätigkeit in einem anderen Beruf oder Aufgabenbereich berücksichtigt (Satz 2).</w:t>
      </w:r>
    </w:p>
    <w:p>
      <w:r>
        <w:rPr>
          <w:b/>
        </w:rPr>
        <w:t>E. 2.2</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w:t>
      </w:r>
    </w:p>
    <w:p>
      <w:r>
        <w:rPr>
          <w:b/>
        </w:rPr>
        <w:t>E. 3</w:t>
      </w:r>
    </w:p>
    <w:p>
      <w:r>
        <w:t>Die Kosten für das Privatgutachten bei Dr. med. E. vom 2. Mai 2011 in Höhe von Fr. 2'000.-- sowie für das Gerichtsgutachten bei der F. vom 31. Dezember 2012 in Höhe von Fr. 9'131.30 werden der IV-Stelle auferlegt.</w:t>
      </w:r>
    </w:p>
    <w:p>
      <w:r>
        <w:rPr>
          <w:b/>
        </w:rPr>
        <w:t>E. 4</w:t>
      </w:r>
    </w:p>
    <w:p>
      <w:r>
        <w:t>Die IV-Stelle hat der Beschwerdeführerin eine Parteientschädigung in der Höhe von Fr. 6'048.55 (inkl. Auslagen und 8%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